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65" w:rsidRPr="00C24665" w:rsidRDefault="00C24665" w:rsidP="00C24665">
      <w:pPr>
        <w:bidi/>
        <w:rPr>
          <w:sz w:val="44"/>
          <w:szCs w:val="44"/>
          <w:lang w:eastAsia="sv-SE"/>
        </w:rPr>
      </w:pPr>
      <w:r w:rsidRPr="00C24665">
        <w:rPr>
          <w:sz w:val="44"/>
          <w:szCs w:val="44"/>
          <w:rtl/>
          <w:lang w:eastAsia="sv-SE"/>
        </w:rPr>
        <w:t>عصمة الأنبياء</w:t>
      </w:r>
      <w:bookmarkStart w:id="0" w:name="_GoBack"/>
      <w:bookmarkEnd w:id="0"/>
    </w:p>
    <w:p w:rsidR="00C24665" w:rsidRPr="00C24665" w:rsidRDefault="00C24665" w:rsidP="00C24665">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C24665">
        <w:rPr>
          <w:rFonts w:ascii="Traditional Arabic" w:eastAsia="Times New Roman" w:hAnsi="Traditional Arabic" w:cs="Traditional Arabic"/>
          <w:b/>
          <w:bCs/>
          <w:color w:val="333333"/>
          <w:kern w:val="36"/>
          <w:sz w:val="48"/>
          <w:szCs w:val="48"/>
          <w:rtl/>
          <w:lang w:eastAsia="sv-SE"/>
        </w:rPr>
        <w:t>بسم الله الرحمن الرحيم</w:t>
      </w:r>
    </w:p>
    <w:p w:rsidR="00C24665" w:rsidRPr="00C24665" w:rsidRDefault="00C24665" w:rsidP="00C24665">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C24665">
        <w:rPr>
          <w:rFonts w:ascii="Traditional Arabic" w:eastAsia="Times New Roman" w:hAnsi="Traditional Arabic" w:cs="Traditional Arabic"/>
          <w:b/>
          <w:bCs/>
          <w:color w:val="3B3B3B"/>
          <w:sz w:val="23"/>
          <w:szCs w:val="23"/>
          <w:rtl/>
          <w:lang w:eastAsia="sv-SE"/>
        </w:rPr>
        <w:t>تجب للأنبياء العصمة من الكفر والكبائر وصغائر الخسة والدناءة كسرقة لقمة ويجوز عليهم ما سوى ذلك من الصغائر. وهذا قول أكثر العلماء كما نقله غير واحد وعليه الإمام أبو الحسن الأشعري، وخالفه بعض الأشاعرة. قال تاج الدين السبكي في قصيدته النونية</w:t>
      </w:r>
      <w:bookmarkStart w:id="1" w:name="_ftnref1"/>
      <w:r w:rsidRPr="00C24665">
        <w:rPr>
          <w:rFonts w:ascii="Traditional Arabic" w:eastAsia="Times New Roman" w:hAnsi="Traditional Arabic" w:cs="Traditional Arabic"/>
          <w:b/>
          <w:bCs/>
          <w:color w:val="3B3B3B"/>
          <w:sz w:val="23"/>
          <w:szCs w:val="23"/>
          <w:rtl/>
          <w:lang w:eastAsia="sv-SE"/>
        </w:rPr>
        <w:fldChar w:fldCharType="begin"/>
      </w:r>
      <w:r w:rsidRPr="00C24665">
        <w:rPr>
          <w:rFonts w:ascii="Traditional Arabic" w:eastAsia="Times New Roman" w:hAnsi="Traditional Arabic" w:cs="Traditional Arabic"/>
          <w:b/>
          <w:bCs/>
          <w:color w:val="3B3B3B"/>
          <w:sz w:val="23"/>
          <w:szCs w:val="23"/>
          <w:rtl/>
          <w:lang w:eastAsia="sv-SE"/>
        </w:rPr>
        <w:instrText xml:space="preserve"> </w:instrText>
      </w:r>
      <w:r w:rsidRPr="00C24665">
        <w:rPr>
          <w:rFonts w:ascii="Traditional Arabic" w:eastAsia="Times New Roman" w:hAnsi="Traditional Arabic" w:cs="Traditional Arabic"/>
          <w:b/>
          <w:bCs/>
          <w:color w:val="3B3B3B"/>
          <w:sz w:val="23"/>
          <w:szCs w:val="23"/>
          <w:lang w:eastAsia="sv-SE"/>
        </w:rPr>
        <w:instrText>HYPERLINK "http://www.harariyy.org/iml/5iml.htm" \l "_ftn1" \o</w:instrText>
      </w:r>
      <w:r w:rsidRPr="00C24665">
        <w:rPr>
          <w:rFonts w:ascii="Traditional Arabic" w:eastAsia="Times New Roman" w:hAnsi="Traditional Arabic" w:cs="Traditional Arabic"/>
          <w:b/>
          <w:bCs/>
          <w:color w:val="3B3B3B"/>
          <w:sz w:val="23"/>
          <w:szCs w:val="23"/>
          <w:rtl/>
          <w:lang w:eastAsia="sv-SE"/>
        </w:rPr>
        <w:instrText xml:space="preserve"> "" </w:instrText>
      </w:r>
      <w:r w:rsidRPr="00C24665">
        <w:rPr>
          <w:rFonts w:ascii="Traditional Arabic" w:eastAsia="Times New Roman" w:hAnsi="Traditional Arabic" w:cs="Traditional Arabic"/>
          <w:b/>
          <w:bCs/>
          <w:color w:val="3B3B3B"/>
          <w:sz w:val="23"/>
          <w:szCs w:val="23"/>
          <w:rtl/>
          <w:lang w:eastAsia="sv-SE"/>
        </w:rPr>
        <w:fldChar w:fldCharType="separate"/>
      </w:r>
      <w:r w:rsidRPr="00C24665">
        <w:rPr>
          <w:rFonts w:ascii="inherit" w:eastAsia="Times New Roman" w:hAnsi="inherit" w:cs="Traditional Arabic"/>
          <w:b/>
          <w:bCs/>
          <w:color w:val="333333"/>
          <w:sz w:val="23"/>
          <w:szCs w:val="23"/>
          <w:bdr w:val="none" w:sz="0" w:space="0" w:color="auto" w:frame="1"/>
          <w:rtl/>
          <w:lang w:eastAsia="sv-SE"/>
        </w:rPr>
        <w:t> 1</w:t>
      </w:r>
      <w:r w:rsidRPr="00C24665">
        <w:rPr>
          <w:rFonts w:ascii="Traditional Arabic" w:eastAsia="Times New Roman" w:hAnsi="Traditional Arabic" w:cs="Traditional Arabic"/>
          <w:b/>
          <w:bCs/>
          <w:color w:val="3B3B3B"/>
          <w:sz w:val="23"/>
          <w:szCs w:val="23"/>
          <w:rtl/>
          <w:lang w:eastAsia="sv-SE"/>
        </w:rPr>
        <w:fldChar w:fldCharType="end"/>
      </w:r>
      <w:bookmarkEnd w:id="1"/>
      <w:r w:rsidRPr="00C24665">
        <w:rPr>
          <w:rFonts w:ascii="Traditional Arabic" w:eastAsia="Times New Roman" w:hAnsi="Traditional Arabic" w:cs="Traditional Arabic"/>
          <w:b/>
          <w:bCs/>
          <w:color w:val="3B3B3B"/>
          <w:sz w:val="23"/>
          <w:szCs w:val="23"/>
          <w:rtl/>
          <w:lang w:eastAsia="sv-SE"/>
        </w:rPr>
        <w:t>: [الكامل] </w:t>
      </w:r>
      <w:r w:rsidRPr="00C24665">
        <w:rPr>
          <w:rFonts w:ascii="Traditional Arabic" w:eastAsia="Times New Roman" w:hAnsi="Traditional Arabic" w:cs="Traditional Arabic"/>
          <w:b/>
          <w:bCs/>
          <w:color w:val="3B3B3B"/>
          <w:sz w:val="23"/>
          <w:szCs w:val="23"/>
          <w:rtl/>
          <w:lang w:eastAsia="sv-SE"/>
        </w:rPr>
        <w:br/>
        <w:t>والأَشعري إمامنا لكننا          في ذا نُخالفه بكل لسان </w:t>
      </w:r>
      <w:r w:rsidRPr="00C24665">
        <w:rPr>
          <w:rFonts w:ascii="Traditional Arabic" w:eastAsia="Times New Roman" w:hAnsi="Traditional Arabic" w:cs="Traditional Arabic"/>
          <w:b/>
          <w:bCs/>
          <w:color w:val="3B3B3B"/>
          <w:sz w:val="23"/>
          <w:szCs w:val="23"/>
          <w:rtl/>
          <w:lang w:eastAsia="sv-SE"/>
        </w:rPr>
        <w:br/>
        <w:t>أقول، يا ليته وافقه إذ هو الموافق للنصوص. </w:t>
      </w:r>
      <w:r w:rsidRPr="00C24665">
        <w:rPr>
          <w:rFonts w:ascii="Traditional Arabic" w:eastAsia="Times New Roman" w:hAnsi="Traditional Arabic" w:cs="Traditional Arabic"/>
          <w:b/>
          <w:bCs/>
          <w:color w:val="3B3B3B"/>
          <w:sz w:val="23"/>
          <w:szCs w:val="23"/>
          <w:rtl/>
          <w:lang w:eastAsia="sv-SE"/>
        </w:rPr>
        <w:br/>
        <w:t>عصمةُ الأنبياءِ فضلٌ من الله ولطفٌ بهم ولكن على وجهٍ يبقى اختيارُهم بعدَ العصمةِ في الإقدامِ على الطاعةِ والامتناعِ عن المعصيةِ وإلى هذا القول مالَ الشيخُ أبو منصور الماتريديُّ، وهو القولُ السّديدُ وعليه الاعتمادُ إذ لولا ذلكَ لكانوا مجبورينَ في أفعالِهم ومن كانَ مجبورًا على فعلِ الطَّاعَةِ والامتناعِ عن المعصيةِ لا يكون مأجورًا في فعلِهِ وتركِهِ. </w:t>
      </w:r>
      <w:r w:rsidRPr="00C24665">
        <w:rPr>
          <w:rFonts w:ascii="Traditional Arabic" w:eastAsia="Times New Roman" w:hAnsi="Traditional Arabic" w:cs="Traditional Arabic"/>
          <w:b/>
          <w:bCs/>
          <w:color w:val="3B3B3B"/>
          <w:sz w:val="23"/>
          <w:szCs w:val="23"/>
          <w:rtl/>
          <w:lang w:eastAsia="sv-SE"/>
        </w:rPr>
        <w:br/>
        <w:t>فإن قيل: إننا مأمورون بالاقتداء بهم فلو كانوا يعصون للزم الاقتداء بهم في المعصية ولا يعقل ذلك. فالجواب: أنهم يُنبهون فورًا فلا يُقرون عليها بل يتوبون قبل أن يقتدي بهم أحد فزال المحذور. </w:t>
      </w:r>
      <w:r w:rsidRPr="00C24665">
        <w:rPr>
          <w:rFonts w:ascii="Traditional Arabic" w:eastAsia="Times New Roman" w:hAnsi="Traditional Arabic" w:cs="Traditional Arabic"/>
          <w:b/>
          <w:bCs/>
          <w:color w:val="3B3B3B"/>
          <w:sz w:val="23"/>
          <w:szCs w:val="23"/>
          <w:rtl/>
          <w:lang w:eastAsia="sv-SE"/>
        </w:rPr>
        <w:br/>
        <w:t>ومن الغلو القبيح قول بعض المنحرفين من المتصوفة: «إن ءادم كان منهيًّا عن الأكل من الشجرة ظاهرًا مأمورًا باطنًا». وقال بعض هؤلاء في إخوة يوسف مثل ذلك وذلك تكذيب للنص. أما في حق ءادم فقد قال تعالى </w:t>
      </w:r>
      <w:r w:rsidRPr="00C24665">
        <w:rPr>
          <w:rFonts w:ascii="inherit" w:eastAsia="Times New Roman" w:hAnsi="inherit" w:cs="Traditional Arabic"/>
          <w:b/>
          <w:bCs/>
          <w:color w:val="3B3B3B"/>
          <w:sz w:val="23"/>
          <w:szCs w:val="23"/>
          <w:bdr w:val="none" w:sz="0" w:space="0" w:color="auto" w:frame="1"/>
          <w:rtl/>
          <w:lang w:eastAsia="sv-SE"/>
        </w:rPr>
        <w:t>﴿وَعَصَى آَدَمُ رَبَّهُ فَغَوَى﴾</w:t>
      </w:r>
      <w:r w:rsidRPr="00C24665">
        <w:rPr>
          <w:rFonts w:ascii="Traditional Arabic" w:eastAsia="Times New Roman" w:hAnsi="Traditional Arabic" w:cs="Traditional Arabic"/>
          <w:b/>
          <w:bCs/>
          <w:color w:val="3B3B3B"/>
          <w:sz w:val="23"/>
          <w:szCs w:val="23"/>
          <w:rtl/>
          <w:lang w:eastAsia="sv-SE"/>
        </w:rPr>
        <w:t> [سورة طه] أخبرنا الله بأنه نُهي ولم يخبرنا بأنه أمر بالأكل من الشجرة وكيف يجتمع الأمر بشىءٍ والنهي عنه في حق شخص واحدٍ في وقت واحدٍ ثم أخبرنا بأنه تاب عليه بقوله </w:t>
      </w:r>
      <w:r w:rsidRPr="00C24665">
        <w:rPr>
          <w:rFonts w:ascii="inherit" w:eastAsia="Times New Roman" w:hAnsi="inherit" w:cs="Traditional Arabic"/>
          <w:b/>
          <w:bCs/>
          <w:color w:val="3B3B3B"/>
          <w:sz w:val="23"/>
          <w:szCs w:val="23"/>
          <w:bdr w:val="none" w:sz="0" w:space="0" w:color="auto" w:frame="1"/>
          <w:rtl/>
          <w:lang w:eastAsia="sv-SE"/>
        </w:rPr>
        <w:t>﴿فَتَلَقَّى آَدَمُ مِنْ رَبِّهِ كَلِمَاتٍ فَتَابَ عَلَيْهِ﴾</w:t>
      </w:r>
      <w:r w:rsidRPr="00C24665">
        <w:rPr>
          <w:rFonts w:ascii="Traditional Arabic" w:eastAsia="Times New Roman" w:hAnsi="Traditional Arabic" w:cs="Traditional Arabic"/>
          <w:b/>
          <w:bCs/>
          <w:color w:val="3B3B3B"/>
          <w:sz w:val="23"/>
          <w:szCs w:val="23"/>
          <w:rtl/>
          <w:lang w:eastAsia="sv-SE"/>
        </w:rPr>
        <w:t> [سورة البقرة] وأما إخوة يوسف الذين كادوه فلم يخبرنا الله تعالى إلا بجرائمهم وأخبرنا أن يوسف قال لهم </w:t>
      </w:r>
      <w:r w:rsidRPr="00C24665">
        <w:rPr>
          <w:rFonts w:ascii="inherit" w:eastAsia="Times New Roman" w:hAnsi="inherit" w:cs="Traditional Arabic"/>
          <w:b/>
          <w:bCs/>
          <w:color w:val="3B3B3B"/>
          <w:sz w:val="23"/>
          <w:szCs w:val="23"/>
          <w:bdr w:val="none" w:sz="0" w:space="0" w:color="auto" w:frame="1"/>
          <w:rtl/>
          <w:lang w:eastAsia="sv-SE"/>
        </w:rPr>
        <w:t>﴿لَا تَثْرِيبَ عَلَيْكُمُ الْيَوْمَ﴾</w:t>
      </w:r>
      <w:r w:rsidRPr="00C24665">
        <w:rPr>
          <w:rFonts w:ascii="Traditional Arabic" w:eastAsia="Times New Roman" w:hAnsi="Traditional Arabic" w:cs="Traditional Arabic"/>
          <w:b/>
          <w:bCs/>
          <w:color w:val="3B3B3B"/>
          <w:sz w:val="23"/>
          <w:szCs w:val="23"/>
          <w:rtl/>
          <w:lang w:eastAsia="sv-SE"/>
        </w:rPr>
        <w:t> [سورة يوسف] فكيف يعقل أن يكونوا مأمورين باطنًا. </w:t>
      </w:r>
      <w:r w:rsidRPr="00C24665">
        <w:rPr>
          <w:rFonts w:ascii="Traditional Arabic" w:eastAsia="Times New Roman" w:hAnsi="Traditional Arabic" w:cs="Traditional Arabic"/>
          <w:b/>
          <w:bCs/>
          <w:color w:val="3B3B3B"/>
          <w:sz w:val="23"/>
          <w:szCs w:val="23"/>
          <w:rtl/>
          <w:lang w:eastAsia="sv-SE"/>
        </w:rPr>
        <w:br/>
        <w:t>وكانت معصية الأكل صغيرة وليست كبيرةً كما تدعي النصارى. فقد قالوا إن المسيح جاء ليخلص البشر من تبعتها وأعظم بذلك افتراءً. </w:t>
      </w:r>
      <w:r w:rsidRPr="00C24665">
        <w:rPr>
          <w:rFonts w:ascii="Traditional Arabic" w:eastAsia="Times New Roman" w:hAnsi="Traditional Arabic" w:cs="Traditional Arabic"/>
          <w:b/>
          <w:bCs/>
          <w:color w:val="3B3B3B"/>
          <w:sz w:val="23"/>
          <w:szCs w:val="23"/>
          <w:rtl/>
          <w:lang w:eastAsia="sv-SE"/>
        </w:rPr>
        <w:br/>
        <w:t>وكانت الكلمات التي تلقاها ءادم ما ذكر الله بقوله </w:t>
      </w:r>
      <w:r w:rsidRPr="00C24665">
        <w:rPr>
          <w:rFonts w:ascii="inherit" w:eastAsia="Times New Roman" w:hAnsi="inherit" w:cs="Traditional Arabic"/>
          <w:b/>
          <w:bCs/>
          <w:color w:val="3B3B3B"/>
          <w:sz w:val="23"/>
          <w:szCs w:val="23"/>
          <w:bdr w:val="none" w:sz="0" w:space="0" w:color="auto" w:frame="1"/>
          <w:rtl/>
          <w:lang w:eastAsia="sv-SE"/>
        </w:rPr>
        <w:t>﴿قَالَا رَبَّنَا ظَلَمْنَا أَنْفُسَنَا وَإِنْ لَمْ تَغْفِرْ لَنَا وَتَرْحَمْنَا لَنَكُونَنَّ مِنَ الْخَاسِرِينَ ﴾</w:t>
      </w:r>
      <w:r w:rsidRPr="00C24665">
        <w:rPr>
          <w:rFonts w:ascii="Traditional Arabic" w:eastAsia="Times New Roman" w:hAnsi="Traditional Arabic" w:cs="Traditional Arabic"/>
          <w:b/>
          <w:bCs/>
          <w:color w:val="3B3B3B"/>
          <w:sz w:val="23"/>
          <w:szCs w:val="23"/>
          <w:rtl/>
          <w:lang w:eastAsia="sv-SE"/>
        </w:rPr>
        <w:t> [سورة الأعراف]. </w:t>
      </w:r>
      <w:r w:rsidRPr="00C24665">
        <w:rPr>
          <w:rFonts w:ascii="Traditional Arabic" w:eastAsia="Times New Roman" w:hAnsi="Traditional Arabic" w:cs="Traditional Arabic"/>
          <w:b/>
          <w:bCs/>
          <w:color w:val="3B3B3B"/>
          <w:sz w:val="23"/>
          <w:szCs w:val="23"/>
          <w:rtl/>
          <w:lang w:eastAsia="sv-SE"/>
        </w:rPr>
        <w:br/>
      </w:r>
      <w:r w:rsidRPr="00C24665">
        <w:rPr>
          <w:rFonts w:ascii="inherit" w:eastAsia="Times New Roman" w:hAnsi="inherit" w:cs="Traditional Arabic"/>
          <w:b/>
          <w:bCs/>
          <w:color w:val="3B3B3B"/>
          <w:sz w:val="23"/>
          <w:szCs w:val="23"/>
          <w:bdr w:val="none" w:sz="0" w:space="0" w:color="auto" w:frame="1"/>
          <w:rtl/>
          <w:lang w:eastAsia="sv-SE"/>
        </w:rPr>
        <w:t>قاعدة في عصمة الأنبياء</w:t>
      </w:r>
      <w:r w:rsidRPr="00C24665">
        <w:rPr>
          <w:rFonts w:ascii="Traditional Arabic" w:eastAsia="Times New Roman" w:hAnsi="Traditional Arabic" w:cs="Traditional Arabic"/>
          <w:b/>
          <w:bCs/>
          <w:color w:val="3B3B3B"/>
          <w:sz w:val="23"/>
          <w:szCs w:val="23"/>
          <w:rtl/>
          <w:lang w:eastAsia="sv-SE"/>
        </w:rPr>
        <w:t>. قال الشيخ التلمساني في شرح لمع الأدلة</w:t>
      </w:r>
      <w:bookmarkStart w:id="2" w:name="_ftnref2"/>
      <w:r w:rsidRPr="00C24665">
        <w:rPr>
          <w:rFonts w:ascii="Traditional Arabic" w:eastAsia="Times New Roman" w:hAnsi="Traditional Arabic" w:cs="Traditional Arabic"/>
          <w:b/>
          <w:bCs/>
          <w:color w:val="3B3B3B"/>
          <w:sz w:val="23"/>
          <w:szCs w:val="23"/>
          <w:rtl/>
          <w:lang w:eastAsia="sv-SE"/>
        </w:rPr>
        <w:fldChar w:fldCharType="begin"/>
      </w:r>
      <w:r w:rsidRPr="00C24665">
        <w:rPr>
          <w:rFonts w:ascii="Traditional Arabic" w:eastAsia="Times New Roman" w:hAnsi="Traditional Arabic" w:cs="Traditional Arabic"/>
          <w:b/>
          <w:bCs/>
          <w:color w:val="3B3B3B"/>
          <w:sz w:val="23"/>
          <w:szCs w:val="23"/>
          <w:rtl/>
          <w:lang w:eastAsia="sv-SE"/>
        </w:rPr>
        <w:instrText xml:space="preserve"> </w:instrText>
      </w:r>
      <w:r w:rsidRPr="00C24665">
        <w:rPr>
          <w:rFonts w:ascii="Traditional Arabic" w:eastAsia="Times New Roman" w:hAnsi="Traditional Arabic" w:cs="Traditional Arabic"/>
          <w:b/>
          <w:bCs/>
          <w:color w:val="3B3B3B"/>
          <w:sz w:val="23"/>
          <w:szCs w:val="23"/>
          <w:lang w:eastAsia="sv-SE"/>
        </w:rPr>
        <w:instrText>HYPERLINK "http://www.harariyy.org/iml/5iml.htm" \l "_ftn2" \o</w:instrText>
      </w:r>
      <w:r w:rsidRPr="00C24665">
        <w:rPr>
          <w:rFonts w:ascii="Traditional Arabic" w:eastAsia="Times New Roman" w:hAnsi="Traditional Arabic" w:cs="Traditional Arabic"/>
          <w:b/>
          <w:bCs/>
          <w:color w:val="3B3B3B"/>
          <w:sz w:val="23"/>
          <w:szCs w:val="23"/>
          <w:rtl/>
          <w:lang w:eastAsia="sv-SE"/>
        </w:rPr>
        <w:instrText xml:space="preserve"> "" </w:instrText>
      </w:r>
      <w:r w:rsidRPr="00C24665">
        <w:rPr>
          <w:rFonts w:ascii="Traditional Arabic" w:eastAsia="Times New Roman" w:hAnsi="Traditional Arabic" w:cs="Traditional Arabic"/>
          <w:b/>
          <w:bCs/>
          <w:color w:val="3B3B3B"/>
          <w:sz w:val="23"/>
          <w:szCs w:val="23"/>
          <w:rtl/>
          <w:lang w:eastAsia="sv-SE"/>
        </w:rPr>
        <w:fldChar w:fldCharType="separate"/>
      </w:r>
      <w:r w:rsidRPr="00C24665">
        <w:rPr>
          <w:rFonts w:ascii="inherit" w:eastAsia="Times New Roman" w:hAnsi="inherit" w:cs="Traditional Arabic"/>
          <w:b/>
          <w:bCs/>
          <w:color w:val="333333"/>
          <w:sz w:val="23"/>
          <w:szCs w:val="23"/>
          <w:bdr w:val="none" w:sz="0" w:space="0" w:color="auto" w:frame="1"/>
          <w:rtl/>
          <w:lang w:eastAsia="sv-SE"/>
        </w:rPr>
        <w:t>2 </w:t>
      </w:r>
      <w:r w:rsidRPr="00C24665">
        <w:rPr>
          <w:rFonts w:ascii="Traditional Arabic" w:eastAsia="Times New Roman" w:hAnsi="Traditional Arabic" w:cs="Traditional Arabic"/>
          <w:b/>
          <w:bCs/>
          <w:color w:val="3B3B3B"/>
          <w:sz w:val="23"/>
          <w:szCs w:val="23"/>
          <w:rtl/>
          <w:lang w:eastAsia="sv-SE"/>
        </w:rPr>
        <w:fldChar w:fldCharType="end"/>
      </w:r>
      <w:bookmarkEnd w:id="2"/>
      <w:r w:rsidRPr="00C24665">
        <w:rPr>
          <w:rFonts w:ascii="Traditional Arabic" w:eastAsia="Times New Roman" w:hAnsi="Traditional Arabic" w:cs="Traditional Arabic"/>
          <w:b/>
          <w:bCs/>
          <w:color w:val="3B3B3B"/>
          <w:sz w:val="23"/>
          <w:szCs w:val="23"/>
          <w:rtl/>
          <w:lang w:eastAsia="sv-SE"/>
        </w:rPr>
        <w:t>ما نصُّه: «لا يجوز عليهم الكبيرة ألبتة ويجوز تعمد الصغيرة بشرط عدم الإصرار، ولا يجوز منهم صغيرة تدل على خساسة النفس ودناءة الهمة كتطفيف حبة وسرقة باقة بقل» اهـ، ثم قال</w:t>
      </w:r>
      <w:bookmarkStart w:id="3" w:name="_ftnref3"/>
      <w:r w:rsidRPr="00C24665">
        <w:rPr>
          <w:rFonts w:ascii="Traditional Arabic" w:eastAsia="Times New Roman" w:hAnsi="Traditional Arabic" w:cs="Traditional Arabic"/>
          <w:b/>
          <w:bCs/>
          <w:color w:val="3B3B3B"/>
          <w:sz w:val="23"/>
          <w:szCs w:val="23"/>
          <w:rtl/>
          <w:lang w:eastAsia="sv-SE"/>
        </w:rPr>
        <w:fldChar w:fldCharType="begin"/>
      </w:r>
      <w:r w:rsidRPr="00C24665">
        <w:rPr>
          <w:rFonts w:ascii="Traditional Arabic" w:eastAsia="Times New Roman" w:hAnsi="Traditional Arabic" w:cs="Traditional Arabic"/>
          <w:b/>
          <w:bCs/>
          <w:color w:val="3B3B3B"/>
          <w:sz w:val="23"/>
          <w:szCs w:val="23"/>
          <w:rtl/>
          <w:lang w:eastAsia="sv-SE"/>
        </w:rPr>
        <w:instrText xml:space="preserve"> </w:instrText>
      </w:r>
      <w:r w:rsidRPr="00C24665">
        <w:rPr>
          <w:rFonts w:ascii="Traditional Arabic" w:eastAsia="Times New Roman" w:hAnsi="Traditional Arabic" w:cs="Traditional Arabic"/>
          <w:b/>
          <w:bCs/>
          <w:color w:val="3B3B3B"/>
          <w:sz w:val="23"/>
          <w:szCs w:val="23"/>
          <w:lang w:eastAsia="sv-SE"/>
        </w:rPr>
        <w:instrText>HYPERLINK "http://www.harariyy.org/iml/5iml.htm" \l "_ftn3" \o</w:instrText>
      </w:r>
      <w:r w:rsidRPr="00C24665">
        <w:rPr>
          <w:rFonts w:ascii="Traditional Arabic" w:eastAsia="Times New Roman" w:hAnsi="Traditional Arabic" w:cs="Traditional Arabic"/>
          <w:b/>
          <w:bCs/>
          <w:color w:val="3B3B3B"/>
          <w:sz w:val="23"/>
          <w:szCs w:val="23"/>
          <w:rtl/>
          <w:lang w:eastAsia="sv-SE"/>
        </w:rPr>
        <w:instrText xml:space="preserve"> "" </w:instrText>
      </w:r>
      <w:r w:rsidRPr="00C24665">
        <w:rPr>
          <w:rFonts w:ascii="Traditional Arabic" w:eastAsia="Times New Roman" w:hAnsi="Traditional Arabic" w:cs="Traditional Arabic"/>
          <w:b/>
          <w:bCs/>
          <w:color w:val="3B3B3B"/>
          <w:sz w:val="23"/>
          <w:szCs w:val="23"/>
          <w:rtl/>
          <w:lang w:eastAsia="sv-SE"/>
        </w:rPr>
        <w:fldChar w:fldCharType="separate"/>
      </w:r>
      <w:r w:rsidRPr="00C24665">
        <w:rPr>
          <w:rFonts w:ascii="inherit" w:eastAsia="Times New Roman" w:hAnsi="inherit" w:cs="Traditional Arabic"/>
          <w:b/>
          <w:bCs/>
          <w:color w:val="333333"/>
          <w:sz w:val="23"/>
          <w:szCs w:val="23"/>
          <w:bdr w:val="none" w:sz="0" w:space="0" w:color="auto" w:frame="1"/>
          <w:rtl/>
          <w:lang w:eastAsia="sv-SE"/>
        </w:rPr>
        <w:t>3 </w:t>
      </w:r>
      <w:r w:rsidRPr="00C24665">
        <w:rPr>
          <w:rFonts w:ascii="Traditional Arabic" w:eastAsia="Times New Roman" w:hAnsi="Traditional Arabic" w:cs="Traditional Arabic"/>
          <w:b/>
          <w:bCs/>
          <w:color w:val="3B3B3B"/>
          <w:sz w:val="23"/>
          <w:szCs w:val="23"/>
          <w:rtl/>
          <w:lang w:eastAsia="sv-SE"/>
        </w:rPr>
        <w:fldChar w:fldCharType="end"/>
      </w:r>
      <w:bookmarkEnd w:id="3"/>
      <w:r w:rsidRPr="00C24665">
        <w:rPr>
          <w:rFonts w:ascii="Traditional Arabic" w:eastAsia="Times New Roman" w:hAnsi="Traditional Arabic" w:cs="Traditional Arabic"/>
          <w:b/>
          <w:bCs/>
          <w:color w:val="3B3B3B"/>
          <w:sz w:val="23"/>
          <w:szCs w:val="23"/>
          <w:rtl/>
          <w:lang w:eastAsia="sv-SE"/>
        </w:rPr>
        <w:t>«وأما عصمتهم عن الكبائر والإصرار على الصغائر وعن كل صغيرة تؤذن بقلة الاكتراث بالديانات فمستند إلى الإجماع القاطع، فإن السلف رضي الله عنهم لم يزالوا يحتجون بالنبي بأفعاله وأقواله ومتبادرون إلى التأسي به، وجميع الظواهر التي اعتمد عليها الحشوية قابلة التأويل». «وأما يونس فقيل: إنما كرّمه الله بالنبوة والرسالة بعد أن نُبِذ بالعراء</w:t>
      </w:r>
      <w:bookmarkStart w:id="4" w:name="_ftnref4"/>
      <w:r w:rsidRPr="00C24665">
        <w:rPr>
          <w:rFonts w:ascii="Traditional Arabic" w:eastAsia="Times New Roman" w:hAnsi="Traditional Arabic" w:cs="Traditional Arabic"/>
          <w:b/>
          <w:bCs/>
          <w:color w:val="3B3B3B"/>
          <w:sz w:val="23"/>
          <w:szCs w:val="23"/>
          <w:rtl/>
          <w:lang w:eastAsia="sv-SE"/>
        </w:rPr>
        <w:fldChar w:fldCharType="begin"/>
      </w:r>
      <w:r w:rsidRPr="00C24665">
        <w:rPr>
          <w:rFonts w:ascii="Traditional Arabic" w:eastAsia="Times New Roman" w:hAnsi="Traditional Arabic" w:cs="Traditional Arabic"/>
          <w:b/>
          <w:bCs/>
          <w:color w:val="3B3B3B"/>
          <w:sz w:val="23"/>
          <w:szCs w:val="23"/>
          <w:rtl/>
          <w:lang w:eastAsia="sv-SE"/>
        </w:rPr>
        <w:instrText xml:space="preserve"> </w:instrText>
      </w:r>
      <w:r w:rsidRPr="00C24665">
        <w:rPr>
          <w:rFonts w:ascii="Traditional Arabic" w:eastAsia="Times New Roman" w:hAnsi="Traditional Arabic" w:cs="Traditional Arabic"/>
          <w:b/>
          <w:bCs/>
          <w:color w:val="3B3B3B"/>
          <w:sz w:val="23"/>
          <w:szCs w:val="23"/>
          <w:lang w:eastAsia="sv-SE"/>
        </w:rPr>
        <w:instrText>HYPERLINK "http://www.harariyy.org/iml/5iml.htm" \l "_ftn4" \o</w:instrText>
      </w:r>
      <w:r w:rsidRPr="00C24665">
        <w:rPr>
          <w:rFonts w:ascii="Traditional Arabic" w:eastAsia="Times New Roman" w:hAnsi="Traditional Arabic" w:cs="Traditional Arabic"/>
          <w:b/>
          <w:bCs/>
          <w:color w:val="3B3B3B"/>
          <w:sz w:val="23"/>
          <w:szCs w:val="23"/>
          <w:rtl/>
          <w:lang w:eastAsia="sv-SE"/>
        </w:rPr>
        <w:instrText xml:space="preserve"> "" </w:instrText>
      </w:r>
      <w:r w:rsidRPr="00C24665">
        <w:rPr>
          <w:rFonts w:ascii="Traditional Arabic" w:eastAsia="Times New Roman" w:hAnsi="Traditional Arabic" w:cs="Traditional Arabic"/>
          <w:b/>
          <w:bCs/>
          <w:color w:val="3B3B3B"/>
          <w:sz w:val="23"/>
          <w:szCs w:val="23"/>
          <w:rtl/>
          <w:lang w:eastAsia="sv-SE"/>
        </w:rPr>
        <w:fldChar w:fldCharType="separate"/>
      </w:r>
      <w:r w:rsidRPr="00C24665">
        <w:rPr>
          <w:rFonts w:ascii="inherit" w:eastAsia="Times New Roman" w:hAnsi="inherit" w:cs="Traditional Arabic"/>
          <w:b/>
          <w:bCs/>
          <w:color w:val="333333"/>
          <w:sz w:val="23"/>
          <w:szCs w:val="23"/>
          <w:bdr w:val="none" w:sz="0" w:space="0" w:color="auto" w:frame="1"/>
          <w:rtl/>
          <w:lang w:eastAsia="sv-SE"/>
        </w:rPr>
        <w:t>4 </w:t>
      </w:r>
      <w:r w:rsidRPr="00C24665">
        <w:rPr>
          <w:rFonts w:ascii="Traditional Arabic" w:eastAsia="Times New Roman" w:hAnsi="Traditional Arabic" w:cs="Traditional Arabic"/>
          <w:b/>
          <w:bCs/>
          <w:color w:val="3B3B3B"/>
          <w:sz w:val="23"/>
          <w:szCs w:val="23"/>
          <w:rtl/>
          <w:lang w:eastAsia="sv-SE"/>
        </w:rPr>
        <w:fldChar w:fldCharType="end"/>
      </w:r>
      <w:bookmarkEnd w:id="4"/>
      <w:r w:rsidRPr="00C24665">
        <w:rPr>
          <w:rFonts w:ascii="Traditional Arabic" w:eastAsia="Times New Roman" w:hAnsi="Traditional Arabic" w:cs="Traditional Arabic"/>
          <w:b/>
          <w:bCs/>
          <w:color w:val="3B3B3B"/>
          <w:sz w:val="23"/>
          <w:szCs w:val="23"/>
          <w:rtl/>
          <w:lang w:eastAsia="sv-SE"/>
        </w:rPr>
        <w:t>قال الله عز وجل </w:t>
      </w:r>
      <w:r w:rsidRPr="00C24665">
        <w:rPr>
          <w:rFonts w:ascii="inherit" w:eastAsia="Times New Roman" w:hAnsi="inherit" w:cs="Traditional Arabic"/>
          <w:b/>
          <w:bCs/>
          <w:color w:val="3B3B3B"/>
          <w:sz w:val="23"/>
          <w:szCs w:val="23"/>
          <w:bdr w:val="none" w:sz="0" w:space="0" w:color="auto" w:frame="1"/>
          <w:rtl/>
          <w:lang w:eastAsia="sv-SE"/>
        </w:rPr>
        <w:t>﴿فَاجْتَبَاهُ رَبُّهُ فَجَعَلَهُ مِنَ الصَّالِحِينَ﴾</w:t>
      </w:r>
      <w:r w:rsidRPr="00C24665">
        <w:rPr>
          <w:rFonts w:ascii="Traditional Arabic" w:eastAsia="Times New Roman" w:hAnsi="Traditional Arabic" w:cs="Traditional Arabic"/>
          <w:b/>
          <w:bCs/>
          <w:color w:val="3B3B3B"/>
          <w:sz w:val="23"/>
          <w:szCs w:val="23"/>
          <w:rtl/>
          <w:lang w:eastAsia="sv-SE"/>
        </w:rPr>
        <w:t> [سورة القلم] ، وأما نبينا صلى الله عليه وسلم وعليهم أجمعين في قصة الفداء في أُسارى بدر والإذن للمنافقين في التخلف عن غزوة تبوك وعُبُوس الوجه لابن أمِّ مكتوم فكلُّ ذلك ترك للأولى</w:t>
      </w:r>
      <w:bookmarkStart w:id="5" w:name="_ftnref5"/>
      <w:r w:rsidRPr="00C24665">
        <w:rPr>
          <w:rFonts w:ascii="Traditional Arabic" w:eastAsia="Times New Roman" w:hAnsi="Traditional Arabic" w:cs="Traditional Arabic"/>
          <w:b/>
          <w:bCs/>
          <w:color w:val="3B3B3B"/>
          <w:sz w:val="23"/>
          <w:szCs w:val="23"/>
          <w:rtl/>
          <w:lang w:eastAsia="sv-SE"/>
        </w:rPr>
        <w:fldChar w:fldCharType="begin"/>
      </w:r>
      <w:r w:rsidRPr="00C24665">
        <w:rPr>
          <w:rFonts w:ascii="Traditional Arabic" w:eastAsia="Times New Roman" w:hAnsi="Traditional Arabic" w:cs="Traditional Arabic"/>
          <w:b/>
          <w:bCs/>
          <w:color w:val="3B3B3B"/>
          <w:sz w:val="23"/>
          <w:szCs w:val="23"/>
          <w:rtl/>
          <w:lang w:eastAsia="sv-SE"/>
        </w:rPr>
        <w:instrText xml:space="preserve"> </w:instrText>
      </w:r>
      <w:r w:rsidRPr="00C24665">
        <w:rPr>
          <w:rFonts w:ascii="Traditional Arabic" w:eastAsia="Times New Roman" w:hAnsi="Traditional Arabic" w:cs="Traditional Arabic"/>
          <w:b/>
          <w:bCs/>
          <w:color w:val="3B3B3B"/>
          <w:sz w:val="23"/>
          <w:szCs w:val="23"/>
          <w:lang w:eastAsia="sv-SE"/>
        </w:rPr>
        <w:instrText>HYPERLINK "http://www.harariyy.org/iml/5iml.htm" \l "_ftn5" \o</w:instrText>
      </w:r>
      <w:r w:rsidRPr="00C24665">
        <w:rPr>
          <w:rFonts w:ascii="Traditional Arabic" w:eastAsia="Times New Roman" w:hAnsi="Traditional Arabic" w:cs="Traditional Arabic"/>
          <w:b/>
          <w:bCs/>
          <w:color w:val="3B3B3B"/>
          <w:sz w:val="23"/>
          <w:szCs w:val="23"/>
          <w:rtl/>
          <w:lang w:eastAsia="sv-SE"/>
        </w:rPr>
        <w:instrText xml:space="preserve"> "" </w:instrText>
      </w:r>
      <w:r w:rsidRPr="00C24665">
        <w:rPr>
          <w:rFonts w:ascii="Traditional Arabic" w:eastAsia="Times New Roman" w:hAnsi="Traditional Arabic" w:cs="Traditional Arabic"/>
          <w:b/>
          <w:bCs/>
          <w:color w:val="3B3B3B"/>
          <w:sz w:val="23"/>
          <w:szCs w:val="23"/>
          <w:rtl/>
          <w:lang w:eastAsia="sv-SE"/>
        </w:rPr>
        <w:fldChar w:fldCharType="separate"/>
      </w:r>
      <w:r w:rsidRPr="00C24665">
        <w:rPr>
          <w:rFonts w:ascii="inherit" w:eastAsia="Times New Roman" w:hAnsi="inherit" w:cs="Traditional Arabic"/>
          <w:b/>
          <w:bCs/>
          <w:color w:val="333333"/>
          <w:sz w:val="23"/>
          <w:szCs w:val="23"/>
          <w:bdr w:val="none" w:sz="0" w:space="0" w:color="auto" w:frame="1"/>
          <w:rtl/>
          <w:lang w:eastAsia="sv-SE"/>
        </w:rPr>
        <w:t>5 </w:t>
      </w:r>
      <w:r w:rsidRPr="00C24665">
        <w:rPr>
          <w:rFonts w:ascii="Traditional Arabic" w:eastAsia="Times New Roman" w:hAnsi="Traditional Arabic" w:cs="Traditional Arabic"/>
          <w:b/>
          <w:bCs/>
          <w:color w:val="3B3B3B"/>
          <w:sz w:val="23"/>
          <w:szCs w:val="23"/>
          <w:rtl/>
          <w:lang w:eastAsia="sv-SE"/>
        </w:rPr>
        <w:fldChar w:fldCharType="end"/>
      </w:r>
      <w:bookmarkEnd w:id="5"/>
      <w:r w:rsidRPr="00C24665">
        <w:rPr>
          <w:rFonts w:ascii="Traditional Arabic" w:eastAsia="Times New Roman" w:hAnsi="Traditional Arabic" w:cs="Traditional Arabic"/>
          <w:b/>
          <w:bCs/>
          <w:color w:val="3B3B3B"/>
          <w:sz w:val="23"/>
          <w:szCs w:val="23"/>
          <w:rtl/>
          <w:lang w:eastAsia="sv-SE"/>
        </w:rPr>
        <w:t>» اهـ. </w:t>
      </w:r>
      <w:r w:rsidRPr="00C24665">
        <w:rPr>
          <w:rFonts w:ascii="Traditional Arabic" w:eastAsia="Times New Roman" w:hAnsi="Traditional Arabic" w:cs="Traditional Arabic"/>
          <w:b/>
          <w:bCs/>
          <w:color w:val="3B3B3B"/>
          <w:sz w:val="23"/>
          <w:szCs w:val="23"/>
          <w:rtl/>
          <w:lang w:eastAsia="sv-SE"/>
        </w:rPr>
        <w:br/>
        <w:t>وقال التلمساني</w:t>
      </w:r>
      <w:bookmarkStart w:id="6" w:name="_ftnref6"/>
      <w:r w:rsidRPr="00C24665">
        <w:rPr>
          <w:rFonts w:ascii="Traditional Arabic" w:eastAsia="Times New Roman" w:hAnsi="Traditional Arabic" w:cs="Traditional Arabic"/>
          <w:b/>
          <w:bCs/>
          <w:color w:val="3B3B3B"/>
          <w:sz w:val="23"/>
          <w:szCs w:val="23"/>
          <w:rtl/>
          <w:lang w:eastAsia="sv-SE"/>
        </w:rPr>
        <w:fldChar w:fldCharType="begin"/>
      </w:r>
      <w:r w:rsidRPr="00C24665">
        <w:rPr>
          <w:rFonts w:ascii="Traditional Arabic" w:eastAsia="Times New Roman" w:hAnsi="Traditional Arabic" w:cs="Traditional Arabic"/>
          <w:b/>
          <w:bCs/>
          <w:color w:val="3B3B3B"/>
          <w:sz w:val="23"/>
          <w:szCs w:val="23"/>
          <w:rtl/>
          <w:lang w:eastAsia="sv-SE"/>
        </w:rPr>
        <w:instrText xml:space="preserve"> </w:instrText>
      </w:r>
      <w:r w:rsidRPr="00C24665">
        <w:rPr>
          <w:rFonts w:ascii="Traditional Arabic" w:eastAsia="Times New Roman" w:hAnsi="Traditional Arabic" w:cs="Traditional Arabic"/>
          <w:b/>
          <w:bCs/>
          <w:color w:val="3B3B3B"/>
          <w:sz w:val="23"/>
          <w:szCs w:val="23"/>
          <w:lang w:eastAsia="sv-SE"/>
        </w:rPr>
        <w:instrText>HYPERLINK "http://www.harariyy.org/iml/5iml.htm" \l "_ftn6" \o</w:instrText>
      </w:r>
      <w:r w:rsidRPr="00C24665">
        <w:rPr>
          <w:rFonts w:ascii="Traditional Arabic" w:eastAsia="Times New Roman" w:hAnsi="Traditional Arabic" w:cs="Traditional Arabic"/>
          <w:b/>
          <w:bCs/>
          <w:color w:val="3B3B3B"/>
          <w:sz w:val="23"/>
          <w:szCs w:val="23"/>
          <w:rtl/>
          <w:lang w:eastAsia="sv-SE"/>
        </w:rPr>
        <w:instrText xml:space="preserve"> "" </w:instrText>
      </w:r>
      <w:r w:rsidRPr="00C24665">
        <w:rPr>
          <w:rFonts w:ascii="Traditional Arabic" w:eastAsia="Times New Roman" w:hAnsi="Traditional Arabic" w:cs="Traditional Arabic"/>
          <w:b/>
          <w:bCs/>
          <w:color w:val="3B3B3B"/>
          <w:sz w:val="23"/>
          <w:szCs w:val="23"/>
          <w:rtl/>
          <w:lang w:eastAsia="sv-SE"/>
        </w:rPr>
        <w:fldChar w:fldCharType="separate"/>
      </w:r>
      <w:r w:rsidRPr="00C24665">
        <w:rPr>
          <w:rFonts w:ascii="inherit" w:eastAsia="Times New Roman" w:hAnsi="inherit" w:cs="Traditional Arabic"/>
          <w:b/>
          <w:bCs/>
          <w:color w:val="333333"/>
          <w:sz w:val="23"/>
          <w:szCs w:val="23"/>
          <w:bdr w:val="none" w:sz="0" w:space="0" w:color="auto" w:frame="1"/>
          <w:rtl/>
          <w:lang w:eastAsia="sv-SE"/>
        </w:rPr>
        <w:t>6 </w:t>
      </w:r>
      <w:r w:rsidRPr="00C24665">
        <w:rPr>
          <w:rFonts w:ascii="Traditional Arabic" w:eastAsia="Times New Roman" w:hAnsi="Traditional Arabic" w:cs="Traditional Arabic"/>
          <w:b/>
          <w:bCs/>
          <w:color w:val="3B3B3B"/>
          <w:sz w:val="23"/>
          <w:szCs w:val="23"/>
          <w:rtl/>
          <w:lang w:eastAsia="sv-SE"/>
        </w:rPr>
        <w:fldChar w:fldCharType="end"/>
      </w:r>
      <w:bookmarkEnd w:id="6"/>
      <w:r w:rsidRPr="00C24665">
        <w:rPr>
          <w:rFonts w:ascii="Traditional Arabic" w:eastAsia="Times New Roman" w:hAnsi="Traditional Arabic" w:cs="Traditional Arabic"/>
          <w:b/>
          <w:bCs/>
          <w:color w:val="3B3B3B"/>
          <w:sz w:val="23"/>
          <w:szCs w:val="23"/>
          <w:rtl/>
          <w:lang w:eastAsia="sv-SE"/>
        </w:rPr>
        <w:t>ما نصه: «اعلم أنه لما ثبت صدق الرسول صلى الله عليه وسلم وعصمته فيما يبلغه عن الله تعالى وجب التصديق بكل ما أخبر من أمور الغيب جملة وتفصيلاً، فإن كان مما يُعلم تفصيله وجب اعتقاده، فإن لم يُعلم تفصيله وجب أن يؤمن به جملة ويرد تأويله إلى الله تعالى ورسوله ولمن اختصه الله عز وجل بالاطلاع على ذلك» اهـ.</w:t>
      </w:r>
    </w:p>
    <w:p w:rsidR="00C24665" w:rsidRPr="00C24665" w:rsidRDefault="00C24665" w:rsidP="00C24665">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C24665">
        <w:rPr>
          <w:rFonts w:ascii="Traditional Arabic" w:eastAsia="Times New Roman" w:hAnsi="Traditional Arabic" w:cs="Traditional Arabic"/>
          <w:b/>
          <w:bCs/>
          <w:color w:val="3B3B3B"/>
          <w:sz w:val="23"/>
          <w:szCs w:val="23"/>
          <w:rtl/>
          <w:lang w:eastAsia="sv-SE"/>
        </w:rPr>
        <w:t>--------------------------------------</w:t>
      </w:r>
    </w:p>
    <w:bookmarkStart w:id="7" w:name="_ftn1"/>
    <w:p w:rsidR="00C24665" w:rsidRPr="00C24665" w:rsidRDefault="00C24665" w:rsidP="00C24665">
      <w:pPr>
        <w:shd w:val="clear" w:color="auto" w:fill="FFFFFF"/>
        <w:bidi/>
        <w:spacing w:after="0" w:line="240" w:lineRule="auto"/>
        <w:jc w:val="both"/>
        <w:textAlignment w:val="baseline"/>
        <w:rPr>
          <w:rFonts w:ascii="inherit" w:eastAsia="Times New Roman" w:hAnsi="inherit" w:cs="Traditional Arabic"/>
          <w:color w:val="333333"/>
          <w:sz w:val="23"/>
          <w:szCs w:val="23"/>
          <w:rtl/>
          <w:lang w:eastAsia="sv-SE"/>
        </w:rPr>
      </w:pPr>
      <w:r w:rsidRPr="00C24665">
        <w:rPr>
          <w:rFonts w:ascii="inherit" w:eastAsia="Times New Roman" w:hAnsi="inherit" w:cs="Traditional Arabic"/>
          <w:color w:val="333333"/>
          <w:sz w:val="23"/>
          <w:szCs w:val="23"/>
          <w:rtl/>
          <w:lang w:eastAsia="sv-SE"/>
        </w:rPr>
        <w:fldChar w:fldCharType="begin"/>
      </w:r>
      <w:r w:rsidRPr="00C24665">
        <w:rPr>
          <w:rFonts w:ascii="inherit" w:eastAsia="Times New Roman" w:hAnsi="inherit" w:cs="Traditional Arabic"/>
          <w:color w:val="333333"/>
          <w:sz w:val="23"/>
          <w:szCs w:val="23"/>
          <w:rtl/>
          <w:lang w:eastAsia="sv-SE"/>
        </w:rPr>
        <w:instrText xml:space="preserve"> </w:instrText>
      </w:r>
      <w:r w:rsidRPr="00C24665">
        <w:rPr>
          <w:rFonts w:ascii="inherit" w:eastAsia="Times New Roman" w:hAnsi="inherit" w:cs="Traditional Arabic"/>
          <w:color w:val="333333"/>
          <w:sz w:val="23"/>
          <w:szCs w:val="23"/>
          <w:lang w:eastAsia="sv-SE"/>
        </w:rPr>
        <w:instrText>HYPERLINK "http://www.harariyy.org/iml/5iml.htm" \l "_ftnref1" \o</w:instrText>
      </w:r>
      <w:r w:rsidRPr="00C24665">
        <w:rPr>
          <w:rFonts w:ascii="inherit" w:eastAsia="Times New Roman" w:hAnsi="inherit" w:cs="Traditional Arabic"/>
          <w:color w:val="333333"/>
          <w:sz w:val="23"/>
          <w:szCs w:val="23"/>
          <w:rtl/>
          <w:lang w:eastAsia="sv-SE"/>
        </w:rPr>
        <w:instrText xml:space="preserve"> "" </w:instrText>
      </w:r>
      <w:r w:rsidRPr="00C24665">
        <w:rPr>
          <w:rFonts w:ascii="inherit" w:eastAsia="Times New Roman" w:hAnsi="inherit" w:cs="Traditional Arabic"/>
          <w:color w:val="333333"/>
          <w:sz w:val="23"/>
          <w:szCs w:val="23"/>
          <w:rtl/>
          <w:lang w:eastAsia="sv-SE"/>
        </w:rPr>
        <w:fldChar w:fldCharType="separate"/>
      </w:r>
      <w:r w:rsidRPr="00C24665">
        <w:rPr>
          <w:rFonts w:ascii="inherit" w:eastAsia="Times New Roman" w:hAnsi="inherit" w:cs="Traditional Arabic"/>
          <w:color w:val="333333"/>
          <w:sz w:val="23"/>
          <w:szCs w:val="23"/>
          <w:bdr w:val="none" w:sz="0" w:space="0" w:color="auto" w:frame="1"/>
          <w:rtl/>
          <w:lang w:eastAsia="sv-SE"/>
        </w:rPr>
        <w:t>1 </w:t>
      </w:r>
      <w:r w:rsidRPr="00C24665">
        <w:rPr>
          <w:rFonts w:ascii="inherit" w:eastAsia="Times New Roman" w:hAnsi="inherit" w:cs="Traditional Arabic"/>
          <w:color w:val="333333"/>
          <w:sz w:val="23"/>
          <w:szCs w:val="23"/>
          <w:rtl/>
          <w:lang w:eastAsia="sv-SE"/>
        </w:rPr>
        <w:fldChar w:fldCharType="end"/>
      </w:r>
      <w:bookmarkEnd w:id="7"/>
      <w:r w:rsidRPr="00C24665">
        <w:rPr>
          <w:rFonts w:ascii="inherit" w:eastAsia="Times New Roman" w:hAnsi="inherit" w:cs="Traditional Arabic"/>
          <w:color w:val="333333"/>
          <w:sz w:val="23"/>
          <w:szCs w:val="23"/>
          <w:rtl/>
          <w:lang w:eastAsia="sv-SE"/>
        </w:rPr>
        <w:t>) طبقات الشافعية (2/268).</w:t>
      </w:r>
    </w:p>
    <w:bookmarkStart w:id="8" w:name="_ftn2"/>
    <w:p w:rsidR="00C24665" w:rsidRPr="00C24665" w:rsidRDefault="00C24665" w:rsidP="00C24665">
      <w:pPr>
        <w:shd w:val="clear" w:color="auto" w:fill="FFFFFF"/>
        <w:bidi/>
        <w:spacing w:after="0" w:line="240" w:lineRule="auto"/>
        <w:jc w:val="both"/>
        <w:textAlignment w:val="baseline"/>
        <w:rPr>
          <w:rFonts w:ascii="inherit" w:eastAsia="Times New Roman" w:hAnsi="inherit" w:cs="Traditional Arabic"/>
          <w:color w:val="333333"/>
          <w:sz w:val="23"/>
          <w:szCs w:val="23"/>
          <w:rtl/>
          <w:lang w:eastAsia="sv-SE"/>
        </w:rPr>
      </w:pPr>
      <w:r w:rsidRPr="00C24665">
        <w:rPr>
          <w:rFonts w:ascii="inherit" w:eastAsia="Times New Roman" w:hAnsi="inherit" w:cs="Traditional Arabic"/>
          <w:color w:val="333333"/>
          <w:sz w:val="23"/>
          <w:szCs w:val="23"/>
          <w:rtl/>
          <w:lang w:eastAsia="sv-SE"/>
        </w:rPr>
        <w:fldChar w:fldCharType="begin"/>
      </w:r>
      <w:r w:rsidRPr="00C24665">
        <w:rPr>
          <w:rFonts w:ascii="inherit" w:eastAsia="Times New Roman" w:hAnsi="inherit" w:cs="Traditional Arabic"/>
          <w:color w:val="333333"/>
          <w:sz w:val="23"/>
          <w:szCs w:val="23"/>
          <w:rtl/>
          <w:lang w:eastAsia="sv-SE"/>
        </w:rPr>
        <w:instrText xml:space="preserve"> </w:instrText>
      </w:r>
      <w:r w:rsidRPr="00C24665">
        <w:rPr>
          <w:rFonts w:ascii="inherit" w:eastAsia="Times New Roman" w:hAnsi="inherit" w:cs="Traditional Arabic"/>
          <w:color w:val="333333"/>
          <w:sz w:val="23"/>
          <w:szCs w:val="23"/>
          <w:lang w:eastAsia="sv-SE"/>
        </w:rPr>
        <w:instrText>HYPERLINK "http://www.harariyy.org/iml/5iml.htm" \l "_ftnref2" \o</w:instrText>
      </w:r>
      <w:r w:rsidRPr="00C24665">
        <w:rPr>
          <w:rFonts w:ascii="inherit" w:eastAsia="Times New Roman" w:hAnsi="inherit" w:cs="Traditional Arabic"/>
          <w:color w:val="333333"/>
          <w:sz w:val="23"/>
          <w:szCs w:val="23"/>
          <w:rtl/>
          <w:lang w:eastAsia="sv-SE"/>
        </w:rPr>
        <w:instrText xml:space="preserve"> "" </w:instrText>
      </w:r>
      <w:r w:rsidRPr="00C24665">
        <w:rPr>
          <w:rFonts w:ascii="inherit" w:eastAsia="Times New Roman" w:hAnsi="inherit" w:cs="Traditional Arabic"/>
          <w:color w:val="333333"/>
          <w:sz w:val="23"/>
          <w:szCs w:val="23"/>
          <w:rtl/>
          <w:lang w:eastAsia="sv-SE"/>
        </w:rPr>
        <w:fldChar w:fldCharType="separate"/>
      </w:r>
      <w:r w:rsidRPr="00C24665">
        <w:rPr>
          <w:rFonts w:ascii="inherit" w:eastAsia="Times New Roman" w:hAnsi="inherit" w:cs="Traditional Arabic"/>
          <w:color w:val="333333"/>
          <w:sz w:val="23"/>
          <w:szCs w:val="23"/>
          <w:bdr w:val="none" w:sz="0" w:space="0" w:color="auto" w:frame="1"/>
          <w:rtl/>
          <w:lang w:eastAsia="sv-SE"/>
        </w:rPr>
        <w:t>2 </w:t>
      </w:r>
      <w:r w:rsidRPr="00C24665">
        <w:rPr>
          <w:rFonts w:ascii="inherit" w:eastAsia="Times New Roman" w:hAnsi="inherit" w:cs="Traditional Arabic"/>
          <w:color w:val="333333"/>
          <w:sz w:val="23"/>
          <w:szCs w:val="23"/>
          <w:rtl/>
          <w:lang w:eastAsia="sv-SE"/>
        </w:rPr>
        <w:fldChar w:fldCharType="end"/>
      </w:r>
      <w:bookmarkEnd w:id="8"/>
      <w:r w:rsidRPr="00C24665">
        <w:rPr>
          <w:rFonts w:ascii="inherit" w:eastAsia="Times New Roman" w:hAnsi="inherit" w:cs="Traditional Arabic"/>
          <w:color w:val="333333"/>
          <w:sz w:val="23"/>
          <w:szCs w:val="23"/>
          <w:rtl/>
          <w:lang w:eastAsia="sv-SE"/>
        </w:rPr>
        <w:t>) شرح لمع الأدلة (ص/197)، مخطوط.</w:t>
      </w:r>
    </w:p>
    <w:bookmarkStart w:id="9" w:name="_ftn3"/>
    <w:p w:rsidR="00C24665" w:rsidRPr="00C24665" w:rsidRDefault="00C24665" w:rsidP="00C24665">
      <w:pPr>
        <w:shd w:val="clear" w:color="auto" w:fill="FFFFFF"/>
        <w:bidi/>
        <w:spacing w:after="0" w:line="240" w:lineRule="auto"/>
        <w:jc w:val="both"/>
        <w:textAlignment w:val="baseline"/>
        <w:rPr>
          <w:rFonts w:ascii="inherit" w:eastAsia="Times New Roman" w:hAnsi="inherit" w:cs="Traditional Arabic"/>
          <w:color w:val="333333"/>
          <w:sz w:val="23"/>
          <w:szCs w:val="23"/>
          <w:rtl/>
          <w:lang w:eastAsia="sv-SE"/>
        </w:rPr>
      </w:pPr>
      <w:r w:rsidRPr="00C24665">
        <w:rPr>
          <w:rFonts w:ascii="inherit" w:eastAsia="Times New Roman" w:hAnsi="inherit" w:cs="Traditional Arabic"/>
          <w:color w:val="333333"/>
          <w:sz w:val="23"/>
          <w:szCs w:val="23"/>
          <w:rtl/>
          <w:lang w:eastAsia="sv-SE"/>
        </w:rPr>
        <w:fldChar w:fldCharType="begin"/>
      </w:r>
      <w:r w:rsidRPr="00C24665">
        <w:rPr>
          <w:rFonts w:ascii="inherit" w:eastAsia="Times New Roman" w:hAnsi="inherit" w:cs="Traditional Arabic"/>
          <w:color w:val="333333"/>
          <w:sz w:val="23"/>
          <w:szCs w:val="23"/>
          <w:rtl/>
          <w:lang w:eastAsia="sv-SE"/>
        </w:rPr>
        <w:instrText xml:space="preserve"> </w:instrText>
      </w:r>
      <w:r w:rsidRPr="00C24665">
        <w:rPr>
          <w:rFonts w:ascii="inherit" w:eastAsia="Times New Roman" w:hAnsi="inherit" w:cs="Traditional Arabic"/>
          <w:color w:val="333333"/>
          <w:sz w:val="23"/>
          <w:szCs w:val="23"/>
          <w:lang w:eastAsia="sv-SE"/>
        </w:rPr>
        <w:instrText>HYPERLINK "http://www.harariyy.org/iml/5iml.htm" \l "_ftnref3" \o</w:instrText>
      </w:r>
      <w:r w:rsidRPr="00C24665">
        <w:rPr>
          <w:rFonts w:ascii="inherit" w:eastAsia="Times New Roman" w:hAnsi="inherit" w:cs="Traditional Arabic"/>
          <w:color w:val="333333"/>
          <w:sz w:val="23"/>
          <w:szCs w:val="23"/>
          <w:rtl/>
          <w:lang w:eastAsia="sv-SE"/>
        </w:rPr>
        <w:instrText xml:space="preserve"> "" </w:instrText>
      </w:r>
      <w:r w:rsidRPr="00C24665">
        <w:rPr>
          <w:rFonts w:ascii="inherit" w:eastAsia="Times New Roman" w:hAnsi="inherit" w:cs="Traditional Arabic"/>
          <w:color w:val="333333"/>
          <w:sz w:val="23"/>
          <w:szCs w:val="23"/>
          <w:rtl/>
          <w:lang w:eastAsia="sv-SE"/>
        </w:rPr>
        <w:fldChar w:fldCharType="separate"/>
      </w:r>
      <w:r w:rsidRPr="00C24665">
        <w:rPr>
          <w:rFonts w:ascii="inherit" w:eastAsia="Times New Roman" w:hAnsi="inherit" w:cs="Traditional Arabic"/>
          <w:color w:val="333333"/>
          <w:sz w:val="23"/>
          <w:szCs w:val="23"/>
          <w:bdr w:val="none" w:sz="0" w:space="0" w:color="auto" w:frame="1"/>
          <w:rtl/>
          <w:lang w:eastAsia="sv-SE"/>
        </w:rPr>
        <w:t>3</w:t>
      </w:r>
      <w:r w:rsidRPr="00C24665">
        <w:rPr>
          <w:rFonts w:ascii="inherit" w:eastAsia="Times New Roman" w:hAnsi="inherit" w:cs="Traditional Arabic"/>
          <w:color w:val="333333"/>
          <w:sz w:val="23"/>
          <w:szCs w:val="23"/>
          <w:rtl/>
          <w:lang w:eastAsia="sv-SE"/>
        </w:rPr>
        <w:fldChar w:fldCharType="end"/>
      </w:r>
      <w:bookmarkEnd w:id="9"/>
      <w:r w:rsidRPr="00C24665">
        <w:rPr>
          <w:rFonts w:ascii="inherit" w:eastAsia="Times New Roman" w:hAnsi="inherit" w:cs="Traditional Arabic"/>
          <w:color w:val="333333"/>
          <w:sz w:val="23"/>
          <w:szCs w:val="23"/>
          <w:rtl/>
          <w:lang w:eastAsia="sv-SE"/>
        </w:rPr>
        <w:t> ) شرح لمع الأدلة (ص/198)، مخطوط.</w:t>
      </w:r>
    </w:p>
    <w:bookmarkStart w:id="10" w:name="_ftn4"/>
    <w:p w:rsidR="00C24665" w:rsidRPr="00C24665" w:rsidRDefault="00C24665" w:rsidP="00C24665">
      <w:pPr>
        <w:shd w:val="clear" w:color="auto" w:fill="FFFFFF"/>
        <w:bidi/>
        <w:spacing w:after="0" w:line="240" w:lineRule="auto"/>
        <w:jc w:val="both"/>
        <w:textAlignment w:val="baseline"/>
        <w:rPr>
          <w:rFonts w:ascii="inherit" w:eastAsia="Times New Roman" w:hAnsi="inherit" w:cs="Traditional Arabic"/>
          <w:color w:val="333333"/>
          <w:sz w:val="23"/>
          <w:szCs w:val="23"/>
          <w:rtl/>
          <w:lang w:eastAsia="sv-SE"/>
        </w:rPr>
      </w:pPr>
      <w:r w:rsidRPr="00C24665">
        <w:rPr>
          <w:rFonts w:ascii="inherit" w:eastAsia="Times New Roman" w:hAnsi="inherit" w:cs="Traditional Arabic"/>
          <w:color w:val="333333"/>
          <w:sz w:val="23"/>
          <w:szCs w:val="23"/>
          <w:rtl/>
          <w:lang w:eastAsia="sv-SE"/>
        </w:rPr>
        <w:fldChar w:fldCharType="begin"/>
      </w:r>
      <w:r w:rsidRPr="00C24665">
        <w:rPr>
          <w:rFonts w:ascii="inherit" w:eastAsia="Times New Roman" w:hAnsi="inherit" w:cs="Traditional Arabic"/>
          <w:color w:val="333333"/>
          <w:sz w:val="23"/>
          <w:szCs w:val="23"/>
          <w:rtl/>
          <w:lang w:eastAsia="sv-SE"/>
        </w:rPr>
        <w:instrText xml:space="preserve"> </w:instrText>
      </w:r>
      <w:r w:rsidRPr="00C24665">
        <w:rPr>
          <w:rFonts w:ascii="inherit" w:eastAsia="Times New Roman" w:hAnsi="inherit" w:cs="Traditional Arabic"/>
          <w:color w:val="333333"/>
          <w:sz w:val="23"/>
          <w:szCs w:val="23"/>
          <w:lang w:eastAsia="sv-SE"/>
        </w:rPr>
        <w:instrText>HYPERLINK "http://www.harariyy.org/iml/5iml.htm" \l "_ftnref4" \o</w:instrText>
      </w:r>
      <w:r w:rsidRPr="00C24665">
        <w:rPr>
          <w:rFonts w:ascii="inherit" w:eastAsia="Times New Roman" w:hAnsi="inherit" w:cs="Traditional Arabic"/>
          <w:color w:val="333333"/>
          <w:sz w:val="23"/>
          <w:szCs w:val="23"/>
          <w:rtl/>
          <w:lang w:eastAsia="sv-SE"/>
        </w:rPr>
        <w:instrText xml:space="preserve"> "" </w:instrText>
      </w:r>
      <w:r w:rsidRPr="00C24665">
        <w:rPr>
          <w:rFonts w:ascii="inherit" w:eastAsia="Times New Roman" w:hAnsi="inherit" w:cs="Traditional Arabic"/>
          <w:color w:val="333333"/>
          <w:sz w:val="23"/>
          <w:szCs w:val="23"/>
          <w:rtl/>
          <w:lang w:eastAsia="sv-SE"/>
        </w:rPr>
        <w:fldChar w:fldCharType="separate"/>
      </w:r>
      <w:r w:rsidRPr="00C24665">
        <w:rPr>
          <w:rFonts w:ascii="inherit" w:eastAsia="Times New Roman" w:hAnsi="inherit" w:cs="Traditional Arabic"/>
          <w:color w:val="333333"/>
          <w:sz w:val="23"/>
          <w:szCs w:val="23"/>
          <w:bdr w:val="none" w:sz="0" w:space="0" w:color="auto" w:frame="1"/>
          <w:rtl/>
          <w:lang w:eastAsia="sv-SE"/>
        </w:rPr>
        <w:t>4 </w:t>
      </w:r>
      <w:r w:rsidRPr="00C24665">
        <w:rPr>
          <w:rFonts w:ascii="inherit" w:eastAsia="Times New Roman" w:hAnsi="inherit" w:cs="Traditional Arabic"/>
          <w:color w:val="333333"/>
          <w:sz w:val="23"/>
          <w:szCs w:val="23"/>
          <w:rtl/>
          <w:lang w:eastAsia="sv-SE"/>
        </w:rPr>
        <w:fldChar w:fldCharType="end"/>
      </w:r>
      <w:bookmarkEnd w:id="10"/>
      <w:r w:rsidRPr="00C24665">
        <w:rPr>
          <w:rFonts w:ascii="inherit" w:eastAsia="Times New Roman" w:hAnsi="inherit" w:cs="Traditional Arabic"/>
          <w:color w:val="333333"/>
          <w:sz w:val="23"/>
          <w:szCs w:val="23"/>
          <w:rtl/>
          <w:lang w:eastAsia="sv-SE"/>
        </w:rPr>
        <w:t>) ولو قيل خروج يونس عليه السلام من قريته وفراقه لقومه كان بعد أن صار نبيًّا لكنه فعل ذلك قبل أن يؤذن له بذلك وحيًا ولأجل هذا قال في بطن الحوت ما قال على أن ذلك لم يكن كبيرة ولا دالًّا على خساسة نفس أو دناءة همة لكان حسنًا.</w:t>
      </w:r>
    </w:p>
    <w:bookmarkStart w:id="11" w:name="_ftn5"/>
    <w:p w:rsidR="00C24665" w:rsidRPr="00C24665" w:rsidRDefault="00C24665" w:rsidP="00C24665">
      <w:pPr>
        <w:shd w:val="clear" w:color="auto" w:fill="FFFFFF"/>
        <w:bidi/>
        <w:spacing w:after="0" w:line="240" w:lineRule="auto"/>
        <w:jc w:val="both"/>
        <w:textAlignment w:val="baseline"/>
        <w:rPr>
          <w:rFonts w:ascii="inherit" w:eastAsia="Times New Roman" w:hAnsi="inherit" w:cs="Traditional Arabic"/>
          <w:color w:val="333333"/>
          <w:sz w:val="23"/>
          <w:szCs w:val="23"/>
          <w:rtl/>
          <w:lang w:eastAsia="sv-SE"/>
        </w:rPr>
      </w:pPr>
      <w:r w:rsidRPr="00C24665">
        <w:rPr>
          <w:rFonts w:ascii="inherit" w:eastAsia="Times New Roman" w:hAnsi="inherit" w:cs="Traditional Arabic"/>
          <w:color w:val="333333"/>
          <w:sz w:val="23"/>
          <w:szCs w:val="23"/>
          <w:rtl/>
          <w:lang w:eastAsia="sv-SE"/>
        </w:rPr>
        <w:lastRenderedPageBreak/>
        <w:fldChar w:fldCharType="begin"/>
      </w:r>
      <w:r w:rsidRPr="00C24665">
        <w:rPr>
          <w:rFonts w:ascii="inherit" w:eastAsia="Times New Roman" w:hAnsi="inherit" w:cs="Traditional Arabic"/>
          <w:color w:val="333333"/>
          <w:sz w:val="23"/>
          <w:szCs w:val="23"/>
          <w:rtl/>
          <w:lang w:eastAsia="sv-SE"/>
        </w:rPr>
        <w:instrText xml:space="preserve"> </w:instrText>
      </w:r>
      <w:r w:rsidRPr="00C24665">
        <w:rPr>
          <w:rFonts w:ascii="inherit" w:eastAsia="Times New Roman" w:hAnsi="inherit" w:cs="Traditional Arabic"/>
          <w:color w:val="333333"/>
          <w:sz w:val="23"/>
          <w:szCs w:val="23"/>
          <w:lang w:eastAsia="sv-SE"/>
        </w:rPr>
        <w:instrText>HYPERLINK "http://www.harariyy.org/iml/5iml.htm" \l "_ftnref5" \o</w:instrText>
      </w:r>
      <w:r w:rsidRPr="00C24665">
        <w:rPr>
          <w:rFonts w:ascii="inherit" w:eastAsia="Times New Roman" w:hAnsi="inherit" w:cs="Traditional Arabic"/>
          <w:color w:val="333333"/>
          <w:sz w:val="23"/>
          <w:szCs w:val="23"/>
          <w:rtl/>
          <w:lang w:eastAsia="sv-SE"/>
        </w:rPr>
        <w:instrText xml:space="preserve"> "" </w:instrText>
      </w:r>
      <w:r w:rsidRPr="00C24665">
        <w:rPr>
          <w:rFonts w:ascii="inherit" w:eastAsia="Times New Roman" w:hAnsi="inherit" w:cs="Traditional Arabic"/>
          <w:color w:val="333333"/>
          <w:sz w:val="23"/>
          <w:szCs w:val="23"/>
          <w:rtl/>
          <w:lang w:eastAsia="sv-SE"/>
        </w:rPr>
        <w:fldChar w:fldCharType="separate"/>
      </w:r>
      <w:r w:rsidRPr="00C24665">
        <w:rPr>
          <w:rFonts w:ascii="inherit" w:eastAsia="Times New Roman" w:hAnsi="inherit" w:cs="Traditional Arabic"/>
          <w:color w:val="333333"/>
          <w:sz w:val="23"/>
          <w:szCs w:val="23"/>
          <w:bdr w:val="none" w:sz="0" w:space="0" w:color="auto" w:frame="1"/>
          <w:rtl/>
          <w:lang w:eastAsia="sv-SE"/>
        </w:rPr>
        <w:t>5</w:t>
      </w:r>
      <w:r w:rsidRPr="00C24665">
        <w:rPr>
          <w:rFonts w:ascii="inherit" w:eastAsia="Times New Roman" w:hAnsi="inherit" w:cs="Traditional Arabic"/>
          <w:color w:val="333333"/>
          <w:sz w:val="23"/>
          <w:szCs w:val="23"/>
          <w:rtl/>
          <w:lang w:eastAsia="sv-SE"/>
        </w:rPr>
        <w:fldChar w:fldCharType="end"/>
      </w:r>
      <w:bookmarkEnd w:id="11"/>
      <w:r w:rsidRPr="00C24665">
        <w:rPr>
          <w:rFonts w:ascii="inherit" w:eastAsia="Times New Roman" w:hAnsi="inherit" w:cs="Traditional Arabic"/>
          <w:color w:val="333333"/>
          <w:sz w:val="23"/>
          <w:szCs w:val="23"/>
          <w:rtl/>
          <w:lang w:eastAsia="sv-SE"/>
        </w:rPr>
        <w:t> ) روى الترمذي في سننه: كتاب السير: باب ما جاء في قتل الأُسارى والفداء، والنسائي في السنن الكبرى (5/200)، وابن حبان في صحيحه انظر الإحسان بترتيب صحيح ابن حبان (7/143)، والبيهقي في سننه، والحاكم في المستدرك (2/140)، والبزار في مسنده (2/176) أن جبريل جاء إلى الرسول صلى الله عليه وسلم يوم بدر فقال «خيّر أصحابك في أُسارة بدر إن شاؤوا القتل وإن شاؤوا الفداء على أن يُقتل في العام المقبل منهم مثلهم فقالوا: الفداءَ ويقتل منا». أما قوله تعالى </w:t>
      </w:r>
      <w:r w:rsidRPr="00C24665">
        <w:rPr>
          <w:rFonts w:ascii="inherit" w:eastAsia="Times New Roman" w:hAnsi="inherit" w:cs="Traditional Arabic"/>
          <w:b/>
          <w:bCs/>
          <w:color w:val="333333"/>
          <w:sz w:val="23"/>
          <w:szCs w:val="23"/>
          <w:bdr w:val="none" w:sz="0" w:space="0" w:color="auto" w:frame="1"/>
          <w:rtl/>
          <w:lang w:eastAsia="sv-SE"/>
        </w:rPr>
        <w:t>{مَا كَانَ لِنَبِيٍّ أَنْ يَكُونَ لَهُ أَسْرَى حَتَّى يُثْخِنَ فِي الأَرْضِ(67)}</w:t>
      </w:r>
      <w:r w:rsidRPr="00C24665">
        <w:rPr>
          <w:rFonts w:ascii="inherit" w:eastAsia="Times New Roman" w:hAnsi="inherit" w:cs="Traditional Arabic"/>
          <w:color w:val="333333"/>
          <w:sz w:val="23"/>
          <w:szCs w:val="23"/>
          <w:rtl/>
          <w:lang w:eastAsia="sv-SE"/>
        </w:rPr>
        <w:t> [سورة الأنفال] فهذا من خصائص الرسول صلى الله عليه وسلم أما بالنسبة لكم الله رخص لكم في أخذ الفداء، الله تعالى امتن على الرسول صلى الله عليه وسلم بهذا. قال القاضي عياض في الشفا (2/159): «وأما قوله في أسارى بدر </w:t>
      </w:r>
      <w:r w:rsidRPr="00C24665">
        <w:rPr>
          <w:rFonts w:ascii="inherit" w:eastAsia="Times New Roman" w:hAnsi="inherit" w:cs="Traditional Arabic"/>
          <w:b/>
          <w:bCs/>
          <w:color w:val="333333"/>
          <w:sz w:val="23"/>
          <w:szCs w:val="23"/>
          <w:bdr w:val="none" w:sz="0" w:space="0" w:color="auto" w:frame="1"/>
          <w:rtl/>
          <w:lang w:eastAsia="sv-SE"/>
        </w:rPr>
        <w:t>{مَا كَانَ لِنَبِيٍّ أَنْ يَكُونَ لَهُ أَسْرَى(67)}</w:t>
      </w:r>
      <w:r w:rsidRPr="00C24665">
        <w:rPr>
          <w:rFonts w:ascii="inherit" w:eastAsia="Times New Roman" w:hAnsi="inherit" w:cs="Traditional Arabic"/>
          <w:color w:val="333333"/>
          <w:sz w:val="23"/>
          <w:szCs w:val="23"/>
          <w:rtl/>
          <w:lang w:eastAsia="sv-SE"/>
        </w:rPr>
        <w:t> الآيتين فليس فيه إلزام ذنب للنبي صلى الله عليه وسلم بل فيه بيان ما خُص به وفُضّل من بين سائر الأنبياء فكأنه قال ما كان هذا لنبي غيرك».</w:t>
      </w:r>
    </w:p>
    <w:bookmarkStart w:id="12" w:name="_ftn6"/>
    <w:p w:rsidR="00C24665" w:rsidRPr="00C24665" w:rsidRDefault="00C24665" w:rsidP="00C24665">
      <w:pPr>
        <w:shd w:val="clear" w:color="auto" w:fill="FFFFFF"/>
        <w:bidi/>
        <w:spacing w:after="0" w:line="240" w:lineRule="auto"/>
        <w:jc w:val="both"/>
        <w:textAlignment w:val="baseline"/>
        <w:rPr>
          <w:rFonts w:ascii="inherit" w:eastAsia="Times New Roman" w:hAnsi="inherit" w:cs="Traditional Arabic"/>
          <w:color w:val="333333"/>
          <w:sz w:val="23"/>
          <w:szCs w:val="23"/>
          <w:rtl/>
          <w:lang w:eastAsia="sv-SE"/>
        </w:rPr>
      </w:pPr>
      <w:r w:rsidRPr="00C24665">
        <w:rPr>
          <w:rFonts w:ascii="inherit" w:eastAsia="Times New Roman" w:hAnsi="inherit" w:cs="Traditional Arabic"/>
          <w:color w:val="333333"/>
          <w:sz w:val="23"/>
          <w:szCs w:val="23"/>
          <w:rtl/>
          <w:lang w:eastAsia="sv-SE"/>
        </w:rPr>
        <w:fldChar w:fldCharType="begin"/>
      </w:r>
      <w:r w:rsidRPr="00C24665">
        <w:rPr>
          <w:rFonts w:ascii="inherit" w:eastAsia="Times New Roman" w:hAnsi="inherit" w:cs="Traditional Arabic"/>
          <w:color w:val="333333"/>
          <w:sz w:val="23"/>
          <w:szCs w:val="23"/>
          <w:rtl/>
          <w:lang w:eastAsia="sv-SE"/>
        </w:rPr>
        <w:instrText xml:space="preserve"> </w:instrText>
      </w:r>
      <w:r w:rsidRPr="00C24665">
        <w:rPr>
          <w:rFonts w:ascii="inherit" w:eastAsia="Times New Roman" w:hAnsi="inherit" w:cs="Traditional Arabic"/>
          <w:color w:val="333333"/>
          <w:sz w:val="23"/>
          <w:szCs w:val="23"/>
          <w:lang w:eastAsia="sv-SE"/>
        </w:rPr>
        <w:instrText>HYPERLINK "http://www.harariyy.org/iml/5iml.htm" \l "_ftnref6" \o</w:instrText>
      </w:r>
      <w:r w:rsidRPr="00C24665">
        <w:rPr>
          <w:rFonts w:ascii="inherit" w:eastAsia="Times New Roman" w:hAnsi="inherit" w:cs="Traditional Arabic"/>
          <w:color w:val="333333"/>
          <w:sz w:val="23"/>
          <w:szCs w:val="23"/>
          <w:rtl/>
          <w:lang w:eastAsia="sv-SE"/>
        </w:rPr>
        <w:instrText xml:space="preserve"> "" </w:instrText>
      </w:r>
      <w:r w:rsidRPr="00C24665">
        <w:rPr>
          <w:rFonts w:ascii="inherit" w:eastAsia="Times New Roman" w:hAnsi="inherit" w:cs="Traditional Arabic"/>
          <w:color w:val="333333"/>
          <w:sz w:val="23"/>
          <w:szCs w:val="23"/>
          <w:rtl/>
          <w:lang w:eastAsia="sv-SE"/>
        </w:rPr>
        <w:fldChar w:fldCharType="separate"/>
      </w:r>
      <w:r w:rsidRPr="00C24665">
        <w:rPr>
          <w:rFonts w:ascii="inherit" w:eastAsia="Times New Roman" w:hAnsi="inherit" w:cs="Traditional Arabic"/>
          <w:color w:val="333333"/>
          <w:sz w:val="23"/>
          <w:szCs w:val="23"/>
          <w:bdr w:val="none" w:sz="0" w:space="0" w:color="auto" w:frame="1"/>
          <w:rtl/>
          <w:lang w:eastAsia="sv-SE"/>
        </w:rPr>
        <w:t>6 </w:t>
      </w:r>
      <w:r w:rsidRPr="00C24665">
        <w:rPr>
          <w:rFonts w:ascii="inherit" w:eastAsia="Times New Roman" w:hAnsi="inherit" w:cs="Traditional Arabic"/>
          <w:color w:val="333333"/>
          <w:sz w:val="23"/>
          <w:szCs w:val="23"/>
          <w:rtl/>
          <w:lang w:eastAsia="sv-SE"/>
        </w:rPr>
        <w:fldChar w:fldCharType="end"/>
      </w:r>
      <w:bookmarkEnd w:id="12"/>
      <w:r w:rsidRPr="00C24665">
        <w:rPr>
          <w:rFonts w:ascii="inherit" w:eastAsia="Times New Roman" w:hAnsi="inherit" w:cs="Traditional Arabic"/>
          <w:color w:val="333333"/>
          <w:sz w:val="23"/>
          <w:szCs w:val="23"/>
          <w:rtl/>
          <w:lang w:eastAsia="sv-SE"/>
        </w:rPr>
        <w:t>) شرح لمع الأدلة (ص/201)، مخطوط.</w:t>
      </w:r>
    </w:p>
    <w:p w:rsidR="00A82564" w:rsidRPr="00C24665" w:rsidRDefault="00A82564" w:rsidP="00C24665">
      <w:pPr>
        <w:bidi/>
      </w:pPr>
    </w:p>
    <w:sectPr w:rsidR="00A82564" w:rsidRPr="00C24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5"/>
    <w:rsid w:val="00A82564"/>
    <w:rsid w:val="00C2466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F9F07-6028-48D1-8160-E3C481CE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C24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2466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466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2466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246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24665"/>
    <w:rPr>
      <w:color w:val="0000FF"/>
      <w:u w:val="single"/>
    </w:rPr>
  </w:style>
  <w:style w:type="character" w:customStyle="1" w:styleId="apple-converted-space">
    <w:name w:val="apple-converted-space"/>
    <w:basedOn w:val="Standardstycketeckensnitt"/>
    <w:rsid w:val="00C24665"/>
  </w:style>
  <w:style w:type="character" w:styleId="Stark">
    <w:name w:val="Strong"/>
    <w:basedOn w:val="Standardstycketeckensnitt"/>
    <w:uiPriority w:val="22"/>
    <w:qFormat/>
    <w:rsid w:val="00C24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8685">
      <w:bodyDiv w:val="1"/>
      <w:marLeft w:val="0"/>
      <w:marRight w:val="0"/>
      <w:marTop w:val="0"/>
      <w:marBottom w:val="0"/>
      <w:divBdr>
        <w:top w:val="none" w:sz="0" w:space="0" w:color="auto"/>
        <w:left w:val="none" w:sz="0" w:space="0" w:color="auto"/>
        <w:bottom w:val="none" w:sz="0" w:space="0" w:color="auto"/>
        <w:right w:val="none" w:sz="0" w:space="0" w:color="auto"/>
      </w:divBdr>
      <w:divsChild>
        <w:div w:id="2074237134">
          <w:marLeft w:val="0"/>
          <w:marRight w:val="0"/>
          <w:marTop w:val="0"/>
          <w:marBottom w:val="0"/>
          <w:divBdr>
            <w:top w:val="none" w:sz="0" w:space="0" w:color="auto"/>
            <w:left w:val="none" w:sz="0" w:space="0" w:color="auto"/>
            <w:bottom w:val="none" w:sz="0" w:space="0" w:color="auto"/>
            <w:right w:val="none" w:sz="0" w:space="0" w:color="auto"/>
          </w:divBdr>
          <w:divsChild>
            <w:div w:id="1893348402">
              <w:marLeft w:val="0"/>
              <w:marRight w:val="0"/>
              <w:marTop w:val="0"/>
              <w:marBottom w:val="0"/>
              <w:divBdr>
                <w:top w:val="none" w:sz="0" w:space="0" w:color="auto"/>
                <w:left w:val="none" w:sz="0" w:space="0" w:color="auto"/>
                <w:bottom w:val="none" w:sz="0" w:space="0" w:color="auto"/>
                <w:right w:val="none" w:sz="0" w:space="0" w:color="auto"/>
              </w:divBdr>
              <w:divsChild>
                <w:div w:id="1019818039">
                  <w:marLeft w:val="0"/>
                  <w:marRight w:val="0"/>
                  <w:marTop w:val="0"/>
                  <w:marBottom w:val="0"/>
                  <w:divBdr>
                    <w:top w:val="none" w:sz="0" w:space="0" w:color="auto"/>
                    <w:left w:val="none" w:sz="0" w:space="0" w:color="auto"/>
                    <w:bottom w:val="none" w:sz="0" w:space="0" w:color="auto"/>
                    <w:right w:val="none" w:sz="0" w:space="0" w:color="auto"/>
                  </w:divBdr>
                </w:div>
                <w:div w:id="880942263">
                  <w:marLeft w:val="0"/>
                  <w:marRight w:val="0"/>
                  <w:marTop w:val="0"/>
                  <w:marBottom w:val="0"/>
                  <w:divBdr>
                    <w:top w:val="none" w:sz="0" w:space="0" w:color="auto"/>
                    <w:left w:val="none" w:sz="0" w:space="0" w:color="auto"/>
                    <w:bottom w:val="none" w:sz="0" w:space="0" w:color="auto"/>
                    <w:right w:val="none" w:sz="0" w:space="0" w:color="auto"/>
                  </w:divBdr>
                </w:div>
                <w:div w:id="666903673">
                  <w:marLeft w:val="0"/>
                  <w:marRight w:val="0"/>
                  <w:marTop w:val="0"/>
                  <w:marBottom w:val="0"/>
                  <w:divBdr>
                    <w:top w:val="none" w:sz="0" w:space="0" w:color="auto"/>
                    <w:left w:val="none" w:sz="0" w:space="0" w:color="auto"/>
                    <w:bottom w:val="none" w:sz="0" w:space="0" w:color="auto"/>
                    <w:right w:val="none" w:sz="0" w:space="0" w:color="auto"/>
                  </w:divBdr>
                </w:div>
                <w:div w:id="1426488309">
                  <w:marLeft w:val="0"/>
                  <w:marRight w:val="0"/>
                  <w:marTop w:val="0"/>
                  <w:marBottom w:val="0"/>
                  <w:divBdr>
                    <w:top w:val="none" w:sz="0" w:space="0" w:color="auto"/>
                    <w:left w:val="none" w:sz="0" w:space="0" w:color="auto"/>
                    <w:bottom w:val="none" w:sz="0" w:space="0" w:color="auto"/>
                    <w:right w:val="none" w:sz="0" w:space="0" w:color="auto"/>
                  </w:divBdr>
                </w:div>
                <w:div w:id="585386126">
                  <w:marLeft w:val="0"/>
                  <w:marRight w:val="0"/>
                  <w:marTop w:val="0"/>
                  <w:marBottom w:val="0"/>
                  <w:divBdr>
                    <w:top w:val="none" w:sz="0" w:space="0" w:color="auto"/>
                    <w:left w:val="none" w:sz="0" w:space="0" w:color="auto"/>
                    <w:bottom w:val="none" w:sz="0" w:space="0" w:color="auto"/>
                    <w:right w:val="none" w:sz="0" w:space="0" w:color="auto"/>
                  </w:divBdr>
                </w:div>
                <w:div w:id="2140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8453">
      <w:bodyDiv w:val="1"/>
      <w:marLeft w:val="0"/>
      <w:marRight w:val="0"/>
      <w:marTop w:val="0"/>
      <w:marBottom w:val="0"/>
      <w:divBdr>
        <w:top w:val="none" w:sz="0" w:space="0" w:color="auto"/>
        <w:left w:val="none" w:sz="0" w:space="0" w:color="auto"/>
        <w:bottom w:val="none" w:sz="0" w:space="0" w:color="auto"/>
        <w:right w:val="none" w:sz="0" w:space="0" w:color="auto"/>
      </w:divBdr>
      <w:divsChild>
        <w:div w:id="66193660">
          <w:marLeft w:val="0"/>
          <w:marRight w:val="0"/>
          <w:marTop w:val="0"/>
          <w:marBottom w:val="0"/>
          <w:divBdr>
            <w:top w:val="none" w:sz="0" w:space="0" w:color="auto"/>
            <w:left w:val="none" w:sz="0" w:space="0" w:color="auto"/>
            <w:bottom w:val="none" w:sz="0" w:space="0" w:color="auto"/>
            <w:right w:val="none" w:sz="0" w:space="0" w:color="auto"/>
          </w:divBdr>
          <w:divsChild>
            <w:div w:id="17112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4346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2016-10-29T19:41:00Z</dcterms:created>
  <dcterms:modified xsi:type="dcterms:W3CDTF">2016-10-29T19:43:00Z</dcterms:modified>
</cp:coreProperties>
</file>